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809"/>
        <w:gridCol w:w="4809"/>
        <w:gridCol w:w="4809"/>
      </w:tblGrid>
      <w:tr w:rsidR="00D31437" w:rsidTr="00CF6AF9">
        <w:tc>
          <w:tcPr>
            <w:tcW w:w="4809" w:type="dxa"/>
          </w:tcPr>
          <w:p w:rsidR="00313A7B" w:rsidRDefault="00313A7B" w:rsidP="00313A7B">
            <w:pPr>
              <w:pStyle w:val="estremi"/>
              <w:spacing w:after="0"/>
            </w:pPr>
            <w:bookmarkStart w:id="0" w:name="_Toc417635736"/>
            <w:r>
              <w:t>Legge regionale 27 aprile 2015, n. 6 (BUR n. 41/2015) – Testo storico</w:t>
            </w:r>
          </w:p>
          <w:p w:rsidR="00313A7B" w:rsidRDefault="00313A7B" w:rsidP="00313A7B">
            <w:pPr>
              <w:pStyle w:val="estremi"/>
              <w:spacing w:after="0"/>
            </w:pPr>
          </w:p>
          <w:p w:rsidR="00313A7B" w:rsidRDefault="00313A7B" w:rsidP="00313A7B">
            <w:pPr>
              <w:pStyle w:val="estremi"/>
              <w:spacing w:after="0"/>
            </w:pPr>
            <w:r w:rsidRPr="00D31437">
              <w:rPr>
                <w:color w:val="FF0000"/>
              </w:rPr>
              <w:t>Art. 20 ABROGATO</w:t>
            </w:r>
          </w:p>
          <w:p w:rsidR="00313A7B" w:rsidRDefault="00313A7B" w:rsidP="00313A7B">
            <w:pPr>
              <w:pStyle w:val="Titolo6"/>
              <w:outlineLvl w:val="5"/>
            </w:pPr>
          </w:p>
          <w:p w:rsidR="00313A7B" w:rsidRDefault="00313A7B" w:rsidP="00313A7B">
            <w:pPr>
              <w:pStyle w:val="Titolo6"/>
              <w:outlineLvl w:val="5"/>
            </w:pPr>
          </w:p>
          <w:p w:rsidR="00D31437" w:rsidRDefault="00D31437" w:rsidP="00CF6AF9">
            <w:pPr>
              <w:pStyle w:val="Titolo6"/>
              <w:outlineLvl w:val="5"/>
            </w:pPr>
            <w:r>
              <w:t>Art. 20 - Disposizioni in materia di prevenzione, contrasto e riduzione del rischio dalla dipendenza dal gioco d'azzardo patologico (GAP).</w:t>
            </w:r>
            <w:bookmarkEnd w:id="0"/>
          </w:p>
          <w:p w:rsidR="00D31437" w:rsidRPr="00D31437" w:rsidRDefault="00D31437" w:rsidP="00CF6AF9">
            <w:pPr>
              <w:rPr>
                <w:sz w:val="24"/>
                <w:lang w:eastAsia="it-IT"/>
              </w:rPr>
            </w:pPr>
          </w:p>
          <w:p w:rsidR="00D31437" w:rsidRDefault="00D31437" w:rsidP="00CF6AF9">
            <w:pPr>
              <w:pStyle w:val="commatxt"/>
            </w:pPr>
            <w:r>
              <w:tab/>
              <w:t>1.</w:t>
            </w:r>
            <w:r>
              <w:tab/>
              <w:t>La Regione del Veneto promuove interventi finalizzati alla prevenzione, al contrasto e alla riduzione del rischio dalla dipendenza da gioco d’azzardo patologico (GAP) e delle problematiche correlate, nonché al trattamento e al recupero delle persone che ne sono affette e al supporto delle loro famiglie.</w:t>
            </w:r>
          </w:p>
          <w:p w:rsidR="00D31437" w:rsidRDefault="00D31437" w:rsidP="00CF6AF9">
            <w:pPr>
              <w:pStyle w:val="commatxt"/>
            </w:pPr>
            <w:r>
              <w:tab/>
              <w:t>2.</w:t>
            </w:r>
            <w:r>
              <w:tab/>
              <w:t>La Giunta regionale entro trenta giorni dall’entrata in vigore della presente legge:</w:t>
            </w:r>
          </w:p>
          <w:p w:rsidR="00D31437" w:rsidRDefault="00D31437" w:rsidP="00CF6AF9">
            <w:pPr>
              <w:pStyle w:val="commatxt"/>
            </w:pPr>
            <w:r>
              <w:t>a)</w:t>
            </w:r>
            <w:r>
              <w:tab/>
              <w:t>istituisce un numero verde regionale e uno specifico indirizzo di posta elettronica per l’accesso ai servizi di ascolto, assistenza e consulenza al fine di fornire i primi orientamenti di fronte all’insorgere di forme di dipendenza da gioco d’azzardo;</w:t>
            </w:r>
          </w:p>
          <w:p w:rsidR="00D31437" w:rsidRDefault="00D31437" w:rsidP="00CF6AF9">
            <w:pPr>
              <w:pStyle w:val="commatxt"/>
            </w:pPr>
            <w:r>
              <w:t>b)</w:t>
            </w:r>
            <w:r>
              <w:tab/>
              <w:t>predispone un cartello informativo sui rischi correlati al gioco e sui servizi di assistenza alle persone con patologie connesse al GAP.</w:t>
            </w:r>
          </w:p>
          <w:p w:rsidR="00D31437" w:rsidRDefault="00D31437" w:rsidP="00CF6AF9">
            <w:pPr>
              <w:pStyle w:val="commatxt"/>
            </w:pPr>
            <w:r>
              <w:tab/>
              <w:t>3.</w:t>
            </w:r>
            <w:r>
              <w:tab/>
              <w:t xml:space="preserve">I comuni, in conformità al principio di sussidiarietà di cui all’articolo 118 della Costituzione, sono competenti in via generale </w:t>
            </w:r>
            <w:r>
              <w:lastRenderedPageBreak/>
              <w:t>all’attuazione della presente legge, ed in particolare:</w:t>
            </w:r>
          </w:p>
          <w:p w:rsidR="00D31437" w:rsidRDefault="00D31437" w:rsidP="00CF6AF9">
            <w:pPr>
              <w:pStyle w:val="commatxt"/>
            </w:pPr>
            <w:r>
              <w:t>a)</w:t>
            </w:r>
            <w:r>
              <w:tab/>
              <w:t>possono individuare - definendo specifici criteri di riordino e sviluppo della dislocazione territoriale della rete di raccolta del gioco e tenendo conto dell'impatto sul contesto, sulla sicurezza e sul decoro urbano, nonché dei problemi connessi alla viabilità, all’inquinamento acustico e alla quiete pubblica - la distanza da istituti scolastici di qualsiasi ordine e grado, centri giovanili e impianti sportivi o da altri luoghi sensibili entro la quale è vietato autorizzare nuove sale giochi o la nuova collocazione di apparecchi per il gioco d'azzardo nonché la relativa sanzione amministrativa in caso di mancato rispetto della stessa;</w:t>
            </w:r>
          </w:p>
          <w:p w:rsidR="00D31437" w:rsidRDefault="00D31437" w:rsidP="00CF6AF9">
            <w:pPr>
              <w:pStyle w:val="commatxt"/>
            </w:pPr>
            <w:r>
              <w:t>b)</w:t>
            </w:r>
            <w:r>
              <w:tab/>
              <w:t>possono individuare gli orari di apertura delle sale giochi e la relativa sanzione amministrativa in caso di mancato rispetto degli stessi, tenendo conto dell'impatto sul contesto, sulla sicurezza e sul decoro urbano, nonché dei problemi connessi alla viabilità, all’inquinamento acustico e alla quiete pubblica;</w:t>
            </w:r>
          </w:p>
          <w:p w:rsidR="00D31437" w:rsidRDefault="00D31437" w:rsidP="00CF6AF9">
            <w:pPr>
              <w:pStyle w:val="commatxt"/>
              <w:rPr>
                <w:b/>
              </w:rPr>
            </w:pPr>
            <w:r>
              <w:t>c)</w:t>
            </w:r>
            <w:r>
              <w:tab/>
              <w:t>possono prevedere forme premianti per gli esercizi e per i gestori di circoli privati e di altri luoghi deputati all'intrattenimento che scelgono di non installare o disinstallare nel proprio esercizio le apparecchiature per il gioco d'azzardo lecito;</w:t>
            </w:r>
          </w:p>
          <w:p w:rsidR="00D31437" w:rsidRDefault="00D31437" w:rsidP="00CF6AF9">
            <w:pPr>
              <w:pStyle w:val="commatxt"/>
            </w:pPr>
            <w:r>
              <w:t>d)</w:t>
            </w:r>
            <w:r>
              <w:tab/>
              <w:t xml:space="preserve">vigilano sull’osservanza delle disposizioni recate dal presente articolo e provvedono all'accertamento delle violazioni e </w:t>
            </w:r>
            <w:r>
              <w:lastRenderedPageBreak/>
              <w:t>all'irrogazione delle sanzioni previste dal presente articolo, destinando i proventi prioritariamente ad iniziative per la prevenzione della dipendenza da gioco d’azzardo o in alternativa a finalità di carattere sociale e assistenziale.</w:t>
            </w:r>
          </w:p>
          <w:p w:rsidR="00D31437" w:rsidRDefault="00D31437" w:rsidP="00CF6AF9">
            <w:pPr>
              <w:pStyle w:val="commatxt"/>
            </w:pPr>
            <w:r>
              <w:tab/>
              <w:t>4.</w:t>
            </w:r>
            <w:r>
              <w:tab/>
              <w:t>Le aziende ULSS, nelle more dell’aggiornamento dei livelli essenziali di assistenza di cui all’articolo 5 del decreto legge 13 settembre 2012, n.158 “Disposizioni urgenti per promuovere lo sviluppo del Paese mediante un più alto livello di tutela della salute” convertito, con modificazioni, dalla legge 8 novembre 2012, n.189, svolgono a livello sperimentale iniziative nei confronti di soggetti affetti da GAP e patologie connesse ed in particolare:</w:t>
            </w:r>
          </w:p>
          <w:p w:rsidR="00D31437" w:rsidRDefault="00D31437" w:rsidP="00CF6AF9">
            <w:pPr>
              <w:pStyle w:val="commatxt"/>
            </w:pPr>
            <w:r>
              <w:t>a)</w:t>
            </w:r>
            <w:r>
              <w:tab/>
              <w:t>adottano un programma di prevenzione, diagnosi, cura e riabilitazione delle persone affette da GAP, coinvolgendo enti, associazioni e altri soggetti, anche privati operanti negli ambiti e per le finalità di cui al comma 1;</w:t>
            </w:r>
          </w:p>
          <w:p w:rsidR="00D31437" w:rsidRDefault="00D31437" w:rsidP="00CF6AF9">
            <w:pPr>
              <w:pStyle w:val="commatxt"/>
            </w:pPr>
            <w:r>
              <w:t>b)</w:t>
            </w:r>
            <w:r>
              <w:tab/>
              <w:t>forniscono alle persone affette da GAP uno specifico programma terapeutico assicurando le adeguate prestazioni medico-specialistiche, diagnostiche, terapeutiche, psicologiche e psicoterapeutiche, socio-educative e riabilitative, sia in regime ambulatoriale che in regime residenziale e semiresidenziale;</w:t>
            </w:r>
          </w:p>
          <w:p w:rsidR="00D31437" w:rsidRDefault="00D31437" w:rsidP="00CF6AF9">
            <w:pPr>
              <w:pStyle w:val="commatxt"/>
            </w:pPr>
            <w:r>
              <w:t>c)</w:t>
            </w:r>
            <w:r>
              <w:tab/>
              <w:t>promuovono gruppi di auto-aiuto per le persone affette da GAP;</w:t>
            </w:r>
          </w:p>
          <w:p w:rsidR="00D31437" w:rsidRDefault="00D31437" w:rsidP="00CF6AF9">
            <w:pPr>
              <w:pStyle w:val="commatxt"/>
            </w:pPr>
            <w:r>
              <w:t>d)</w:t>
            </w:r>
            <w:r>
              <w:tab/>
              <w:t xml:space="preserve">predispongono, entro trenta giorni dall’entrata in vigore della presente legge, dei test di autovalutazione e verifica del rischio da </w:t>
            </w:r>
            <w:r>
              <w:lastRenderedPageBreak/>
              <w:t>dipendenza da gioco d’azzardo da esporsi nelle sale da gioco e negli esercizi commerciali in cui sono installati apparecchi per il gioco d'azzardo.</w:t>
            </w:r>
          </w:p>
          <w:p w:rsidR="00D31437" w:rsidRDefault="00D31437" w:rsidP="00CF6AF9">
            <w:pPr>
              <w:pStyle w:val="commatxt"/>
            </w:pPr>
            <w:r>
              <w:tab/>
              <w:t>5.</w:t>
            </w:r>
            <w:r>
              <w:tab/>
              <w:t>È vietata qualsiasi attività pubblicitaria relativa all’apertura o all’esercizio di sale da gioco e di attrazione che si ponga in contrasto con l’articolo 7, commi 4, 4 bis e 5, del decreto legge n. 158 del 2012 , convertito con modificazioni dalla legge n. 189 del 2012, nonché  la concessione di spazi pubblicitari istituzionali e l'attività di comunicazione istituzionale, per pubblicizzare i giochi che prevedono vincite di denaro.</w:t>
            </w:r>
          </w:p>
          <w:p w:rsidR="00D31437" w:rsidRDefault="00D31437" w:rsidP="00CF6AF9">
            <w:pPr>
              <w:pStyle w:val="commatxt"/>
            </w:pPr>
            <w:r>
              <w:tab/>
              <w:t>6.</w:t>
            </w:r>
            <w:r>
              <w:tab/>
              <w:t>I titolari di sale da gioco e di esercizi commerciali, in cui sono installati apparecchi per il gioco d'azzardo, sono tenuti:</w:t>
            </w:r>
          </w:p>
          <w:p w:rsidR="00D31437" w:rsidRDefault="00D31437" w:rsidP="00CF6AF9">
            <w:pPr>
              <w:pStyle w:val="commatxt"/>
            </w:pPr>
            <w:r>
              <w:t>a)</w:t>
            </w:r>
            <w:r>
              <w:tab/>
              <w:t>ad esporre in luogo visibile e accessibile al pubblico il cartello informativo sui rischi correlati al gioco e sui servizi di assistenza alle persone con patologie connesse al GAP e il test di autovalutazione e verifica del rischio da dipendenza da gioco d’azzardo di cui al comma 4, lettera d);</w:t>
            </w:r>
          </w:p>
          <w:p w:rsidR="00D31437" w:rsidRDefault="00D31437" w:rsidP="00CF6AF9">
            <w:pPr>
              <w:pStyle w:val="commatxt"/>
            </w:pPr>
            <w:r>
              <w:t>b)</w:t>
            </w:r>
            <w:r>
              <w:tab/>
              <w:t>a non pubblicizzare con cartelli od altre modalità all’esterno e all’interno dei locali le eventuali vincite conseguite.</w:t>
            </w:r>
          </w:p>
          <w:p w:rsidR="00D31437" w:rsidRDefault="00D31437" w:rsidP="00CF6AF9">
            <w:pPr>
              <w:pStyle w:val="commatxt"/>
            </w:pPr>
            <w:r>
              <w:tab/>
              <w:t>7.</w:t>
            </w:r>
            <w:r>
              <w:tab/>
              <w:t xml:space="preserve">L'inosservanza delle disposizioni relative al divieto di attività pubblicitaria di cui al comma 5  nonché agli obblighi di esposizione ed informazione di cui al comma 6, comportano l'applicazione di una sanzione amministrativa pecuniaria da euro 500,00 a euro 10.000,00; nel caso di reiterazione delle </w:t>
            </w:r>
            <w:r>
              <w:lastRenderedPageBreak/>
              <w:t>violazioni di cui al comma 6, si applica la sanzione amministrativa accessoria della sospensione temporanea dell'esercizio dell'attività da dieci a sessanta giorni.</w:t>
            </w:r>
          </w:p>
          <w:p w:rsidR="00D31437" w:rsidRDefault="00D31437" w:rsidP="00CF6AF9">
            <w:pPr>
              <w:pStyle w:val="commatxt"/>
            </w:pPr>
            <w:r>
              <w:tab/>
              <w:t>8.</w:t>
            </w:r>
            <w:r>
              <w:tab/>
              <w:t>A decorrere dal 1° gennaio 2016, gli esercizi nei quali risultano installati apparecchi da gioco di cui all’articolo 110, commi 6 e 7, del regio decreto 18 giugno 1931, n. 773 “Approvazione del testo unico delle leggi di pubblica sicurezza”, sono soggetti all’aliquota IRAP di cui all’articolo 16 del decreto legislativo 15 dicembre 1997, n. 446 “Istituzione dell’imposta regionale sulle attività produttive, revisione degli scaglioni, delle aliquote e delle detrazioni dell’Irpef e istituzione di una addizionale regionale a tale imposta, nonché riordino della disciplina dei tributi locali” maggiorata dello 0,2 per cento.</w:t>
            </w:r>
          </w:p>
          <w:p w:rsidR="00D31437" w:rsidRDefault="00D31437" w:rsidP="00CF6AF9">
            <w:pPr>
              <w:pStyle w:val="commatxt"/>
            </w:pPr>
            <w:r>
              <w:tab/>
              <w:t>9.</w:t>
            </w:r>
            <w:r>
              <w:tab/>
              <w:t>Agli oneri derivanti dall’applicazione del presente articolo, quantificati in euro 15.000,00 per l’esercizio 2015 si fa fronte con le risorse allocate nell’</w:t>
            </w:r>
            <w:proofErr w:type="spellStart"/>
            <w:r>
              <w:t>upb</w:t>
            </w:r>
            <w:proofErr w:type="spellEnd"/>
            <w:r>
              <w:t xml:space="preserve"> U0248 “Spesa sanitaria correte” del bilancio di previsione 2015.</w:t>
            </w:r>
          </w:p>
          <w:p w:rsidR="00D31437" w:rsidRDefault="00D31437"/>
        </w:tc>
        <w:tc>
          <w:tcPr>
            <w:tcW w:w="4809" w:type="dxa"/>
          </w:tcPr>
          <w:p w:rsidR="00313A7B" w:rsidRPr="00313A7B" w:rsidRDefault="00313A7B" w:rsidP="00313A7B">
            <w:pPr>
              <w:pStyle w:val="estremi"/>
              <w:spacing w:after="0"/>
            </w:pPr>
            <w:r w:rsidRPr="00D31437">
              <w:lastRenderedPageBreak/>
              <w:t>Legge regionale10 settembre 2019, n. 38 (BUR n. 103/2019)</w:t>
            </w:r>
            <w:r>
              <w:t xml:space="preserve"> – testo vigente</w:t>
            </w:r>
          </w:p>
          <w:p w:rsidR="00313A7B" w:rsidRDefault="00313A7B" w:rsidP="007D4A87">
            <w:pPr>
              <w:rPr>
                <w:rFonts w:ascii="Times New Roman" w:hAnsi="Times New Roman" w:cs="Times New Roman"/>
                <w:sz w:val="24"/>
                <w:szCs w:val="24"/>
              </w:rPr>
            </w:pPr>
          </w:p>
          <w:p w:rsidR="00313A7B" w:rsidRPr="00D31437" w:rsidRDefault="00313A7B"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Default="00D31437" w:rsidP="007D4A87">
            <w:pPr>
              <w:rPr>
                <w:rFonts w:ascii="Times New Roman" w:hAnsi="Times New Roman" w:cs="Times New Roman"/>
                <w:sz w:val="24"/>
                <w:szCs w:val="24"/>
              </w:rPr>
            </w:pPr>
          </w:p>
          <w:p w:rsidR="00313A7B" w:rsidRDefault="00313A7B" w:rsidP="007D4A87">
            <w:pPr>
              <w:rPr>
                <w:rFonts w:ascii="Times New Roman" w:hAnsi="Times New Roman" w:cs="Times New Roman"/>
                <w:sz w:val="24"/>
                <w:szCs w:val="24"/>
              </w:rPr>
            </w:pPr>
          </w:p>
          <w:p w:rsidR="00313A7B" w:rsidRDefault="00313A7B" w:rsidP="007D4A87">
            <w:pPr>
              <w:rPr>
                <w:rFonts w:ascii="Times New Roman" w:hAnsi="Times New Roman" w:cs="Times New Roman"/>
                <w:sz w:val="24"/>
                <w:szCs w:val="24"/>
              </w:rPr>
            </w:pPr>
          </w:p>
          <w:p w:rsidR="00313A7B" w:rsidRPr="00D31437" w:rsidRDefault="00313A7B"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Riproposto in art. 1 comma 1</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r w:rsidRPr="00D31437">
              <w:rPr>
                <w:rFonts w:ascii="Times New Roman" w:hAnsi="Times New Roman" w:cs="Times New Roman"/>
                <w:sz w:val="24"/>
                <w:szCs w:val="24"/>
              </w:rPr>
              <w:t>----</w:t>
            </w: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ind w:firstLine="708"/>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 xml:space="preserve">Riproposto in art. 6 comma 1 </w:t>
            </w:r>
            <w:proofErr w:type="spellStart"/>
            <w:r w:rsidRPr="00D31437">
              <w:rPr>
                <w:rFonts w:ascii="Times New Roman" w:hAnsi="Times New Roman" w:cs="Times New Roman"/>
                <w:sz w:val="24"/>
                <w:szCs w:val="24"/>
              </w:rPr>
              <w:t>lett</w:t>
            </w:r>
            <w:proofErr w:type="spellEnd"/>
            <w:r w:rsidRPr="00D31437">
              <w:rPr>
                <w:rFonts w:ascii="Times New Roman" w:hAnsi="Times New Roman" w:cs="Times New Roman"/>
                <w:sz w:val="24"/>
                <w:szCs w:val="24"/>
              </w:rPr>
              <w:t>. a)</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Default="00D31437" w:rsidP="007D4A87">
            <w:pPr>
              <w:rPr>
                <w:rFonts w:ascii="Times New Roman" w:hAnsi="Times New Roman" w:cs="Times New Roman"/>
                <w:sz w:val="24"/>
                <w:szCs w:val="24"/>
              </w:rPr>
            </w:pPr>
          </w:p>
          <w:p w:rsid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2938FA" w:rsidP="007D4A87">
            <w:pPr>
              <w:rPr>
                <w:rFonts w:ascii="Times New Roman" w:hAnsi="Times New Roman" w:cs="Times New Roman"/>
                <w:sz w:val="24"/>
                <w:szCs w:val="24"/>
              </w:rPr>
            </w:pPr>
            <w:r>
              <w:rPr>
                <w:rFonts w:ascii="Times New Roman" w:hAnsi="Times New Roman" w:cs="Times New Roman"/>
                <w:sz w:val="24"/>
                <w:szCs w:val="24"/>
              </w:rPr>
              <w:t>--</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bookmarkStart w:id="1" w:name="_GoBack"/>
            <w:bookmarkEnd w:id="1"/>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 xml:space="preserve">Riproposto in art. 6 comma 1 </w:t>
            </w:r>
            <w:proofErr w:type="spellStart"/>
            <w:r w:rsidRPr="00D31437">
              <w:rPr>
                <w:rFonts w:ascii="Times New Roman" w:hAnsi="Times New Roman" w:cs="Times New Roman"/>
                <w:sz w:val="24"/>
                <w:szCs w:val="24"/>
              </w:rPr>
              <w:t>lett</w:t>
            </w:r>
            <w:proofErr w:type="spellEnd"/>
            <w:r w:rsidRPr="00D31437">
              <w:rPr>
                <w:rFonts w:ascii="Times New Roman" w:hAnsi="Times New Roman" w:cs="Times New Roman"/>
                <w:sz w:val="24"/>
                <w:szCs w:val="24"/>
              </w:rPr>
              <w:t>. b)</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Ripreso in art. 14 con diversa formulazione</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Principi riproposti in artt. 4 e 5</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Default="00D31437" w:rsidP="007D4A87">
            <w:pPr>
              <w:rPr>
                <w:rFonts w:ascii="Times New Roman" w:hAnsi="Times New Roman" w:cs="Times New Roman"/>
                <w:sz w:val="24"/>
                <w:szCs w:val="24"/>
              </w:rPr>
            </w:pPr>
          </w:p>
          <w:p w:rsid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Riformulato in art. 10 e in art. 9 comma 2</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Riformulato in art. 9</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 xml:space="preserve">Riformulato in art. 14 comma 2 </w:t>
            </w:r>
            <w:proofErr w:type="spellStart"/>
            <w:r w:rsidRPr="00D31437">
              <w:rPr>
                <w:rFonts w:ascii="Times New Roman" w:hAnsi="Times New Roman" w:cs="Times New Roman"/>
                <w:sz w:val="24"/>
                <w:szCs w:val="24"/>
              </w:rPr>
              <w:t>lett</w:t>
            </w:r>
            <w:proofErr w:type="spellEnd"/>
            <w:r w:rsidRPr="00D31437">
              <w:rPr>
                <w:rFonts w:ascii="Times New Roman" w:hAnsi="Times New Roman" w:cs="Times New Roman"/>
                <w:sz w:val="24"/>
                <w:szCs w:val="24"/>
              </w:rPr>
              <w:t>. c)</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w:t>
            </w: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p>
          <w:p w:rsidR="00D31437" w:rsidRPr="00D31437" w:rsidRDefault="00D31437" w:rsidP="007D4A87">
            <w:pPr>
              <w:rPr>
                <w:rFonts w:ascii="Times New Roman" w:hAnsi="Times New Roman" w:cs="Times New Roman"/>
                <w:sz w:val="24"/>
                <w:szCs w:val="24"/>
              </w:rPr>
            </w:pPr>
            <w:r w:rsidRPr="00D31437">
              <w:rPr>
                <w:rFonts w:ascii="Times New Roman" w:hAnsi="Times New Roman" w:cs="Times New Roman"/>
                <w:sz w:val="24"/>
                <w:szCs w:val="24"/>
              </w:rPr>
              <w:t>-----</w:t>
            </w:r>
          </w:p>
        </w:tc>
        <w:tc>
          <w:tcPr>
            <w:tcW w:w="4809" w:type="dxa"/>
          </w:tcPr>
          <w:p w:rsidR="00313A7B" w:rsidRDefault="00313A7B" w:rsidP="00313A7B">
            <w:pPr>
              <w:pStyle w:val="estremi"/>
              <w:spacing w:after="0"/>
            </w:pPr>
            <w:r>
              <w:lastRenderedPageBreak/>
              <w:t>Legge regionale 30 dicembre 2016, n. 30 (BUR n. 127/2016) (Bilancio) – Testo storico</w:t>
            </w:r>
          </w:p>
          <w:p w:rsidR="00313A7B" w:rsidRDefault="00313A7B" w:rsidP="00313A7B">
            <w:pPr>
              <w:pStyle w:val="estremi"/>
              <w:spacing w:after="0"/>
              <w:rPr>
                <w:color w:val="FF0000"/>
              </w:rPr>
            </w:pPr>
          </w:p>
          <w:p w:rsidR="00D31437" w:rsidRPr="00313A7B" w:rsidRDefault="00313A7B" w:rsidP="00313A7B">
            <w:pPr>
              <w:pStyle w:val="estremi"/>
              <w:spacing w:after="0"/>
              <w:rPr>
                <w:color w:val="FF0000"/>
              </w:rPr>
            </w:pPr>
            <w:r w:rsidRPr="00D31437">
              <w:rPr>
                <w:color w:val="FF0000"/>
              </w:rPr>
              <w:t>Art. 54 ABROGATO</w:t>
            </w:r>
          </w:p>
          <w:p w:rsidR="00313A7B" w:rsidRDefault="00313A7B" w:rsidP="005B468E">
            <w:pPr>
              <w:rPr>
                <w:sz w:val="24"/>
              </w:rPr>
            </w:pPr>
          </w:p>
          <w:p w:rsidR="00313A7B" w:rsidRDefault="00313A7B" w:rsidP="005B468E">
            <w:pPr>
              <w:rPr>
                <w:sz w:val="24"/>
              </w:rPr>
            </w:pPr>
          </w:p>
          <w:p w:rsidR="00313A7B" w:rsidRPr="005B468E" w:rsidRDefault="00313A7B" w:rsidP="005B468E">
            <w:pPr>
              <w:rPr>
                <w:sz w:val="24"/>
              </w:rPr>
            </w:pPr>
          </w:p>
        </w:tc>
      </w:tr>
      <w:tr w:rsidR="00D31437" w:rsidTr="00CF6AF9">
        <w:tc>
          <w:tcPr>
            <w:tcW w:w="4809" w:type="dxa"/>
          </w:tcPr>
          <w:p w:rsidR="00D31437" w:rsidRDefault="00D31437"/>
        </w:tc>
        <w:tc>
          <w:tcPr>
            <w:tcW w:w="4809" w:type="dxa"/>
          </w:tcPr>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r w:rsidRPr="00D31437">
              <w:rPr>
                <w:rFonts w:ascii="Times New Roman" w:hAnsi="Times New Roman" w:cs="Times New Roman"/>
                <w:sz w:val="24"/>
                <w:szCs w:val="24"/>
              </w:rPr>
              <w:t>--</w:t>
            </w: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Default="00D31437">
            <w:pPr>
              <w:rPr>
                <w:rFonts w:ascii="Times New Roman" w:hAnsi="Times New Roman" w:cs="Times New Roman"/>
                <w:sz w:val="24"/>
                <w:szCs w:val="24"/>
              </w:rPr>
            </w:pPr>
          </w:p>
          <w:p w:rsidR="00736EA5" w:rsidRPr="00D31437" w:rsidRDefault="00736EA5">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r w:rsidRPr="00D31437">
              <w:rPr>
                <w:rFonts w:ascii="Times New Roman" w:hAnsi="Times New Roman" w:cs="Times New Roman"/>
                <w:sz w:val="24"/>
                <w:szCs w:val="24"/>
              </w:rPr>
              <w:t>--</w:t>
            </w: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Default="00D31437">
            <w:pPr>
              <w:rPr>
                <w:rFonts w:ascii="Times New Roman" w:hAnsi="Times New Roman" w:cs="Times New Roman"/>
                <w:sz w:val="24"/>
                <w:szCs w:val="24"/>
              </w:rPr>
            </w:pPr>
          </w:p>
          <w:p w:rsidR="00736EA5" w:rsidRPr="00D31437" w:rsidRDefault="00736EA5">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r w:rsidRPr="00D31437">
              <w:rPr>
                <w:rFonts w:ascii="Times New Roman" w:hAnsi="Times New Roman" w:cs="Times New Roman"/>
                <w:sz w:val="24"/>
                <w:szCs w:val="24"/>
              </w:rPr>
              <w:t>--</w:t>
            </w: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Default="00D31437">
            <w:pPr>
              <w:rPr>
                <w:rFonts w:ascii="Times New Roman" w:hAnsi="Times New Roman" w:cs="Times New Roman"/>
                <w:sz w:val="24"/>
                <w:szCs w:val="24"/>
              </w:rPr>
            </w:pPr>
          </w:p>
          <w:p w:rsidR="00736EA5" w:rsidRPr="00D31437" w:rsidRDefault="00736EA5">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r w:rsidRPr="00D31437">
              <w:rPr>
                <w:rFonts w:ascii="Times New Roman" w:hAnsi="Times New Roman" w:cs="Times New Roman"/>
                <w:sz w:val="24"/>
                <w:szCs w:val="24"/>
              </w:rPr>
              <w:t>Riproposto in art. 7 comma 1 con la precisazione che sono apparecchi da gioco di cui all’art. 110 comma 6 TULPS</w:t>
            </w: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Default="00D31437">
            <w:pPr>
              <w:rPr>
                <w:rFonts w:ascii="Times New Roman" w:hAnsi="Times New Roman" w:cs="Times New Roman"/>
                <w:sz w:val="24"/>
                <w:szCs w:val="24"/>
              </w:rPr>
            </w:pPr>
          </w:p>
          <w:p w:rsidR="00736EA5" w:rsidRPr="00D31437" w:rsidRDefault="00736EA5">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r w:rsidRPr="00D31437">
              <w:rPr>
                <w:rFonts w:ascii="Times New Roman" w:hAnsi="Times New Roman" w:cs="Times New Roman"/>
                <w:sz w:val="24"/>
                <w:szCs w:val="24"/>
              </w:rPr>
              <w:lastRenderedPageBreak/>
              <w:t>Riproposto in art. 7 comma 4</w:t>
            </w: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r w:rsidRPr="00D31437">
              <w:rPr>
                <w:rFonts w:ascii="Times New Roman" w:hAnsi="Times New Roman" w:cs="Times New Roman"/>
                <w:sz w:val="24"/>
                <w:szCs w:val="24"/>
              </w:rPr>
              <w:t>Riproposto in art. 7 comma 4</w:t>
            </w: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Default="00D31437" w:rsidP="00371AD5">
            <w:pPr>
              <w:rPr>
                <w:rFonts w:ascii="Times New Roman" w:hAnsi="Times New Roman" w:cs="Times New Roman"/>
                <w:sz w:val="24"/>
                <w:szCs w:val="24"/>
              </w:rPr>
            </w:pPr>
          </w:p>
          <w:p w:rsidR="00736EA5" w:rsidRPr="00D31437" w:rsidRDefault="00736EA5"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r w:rsidRPr="00D31437">
              <w:rPr>
                <w:rFonts w:ascii="Times New Roman" w:hAnsi="Times New Roman" w:cs="Times New Roman"/>
                <w:sz w:val="24"/>
                <w:szCs w:val="24"/>
              </w:rPr>
              <w:t>----</w:t>
            </w: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r w:rsidRPr="00D31437">
              <w:rPr>
                <w:rFonts w:ascii="Times New Roman" w:hAnsi="Times New Roman" w:cs="Times New Roman"/>
                <w:sz w:val="24"/>
                <w:szCs w:val="24"/>
              </w:rPr>
              <w:t>----</w:t>
            </w: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Default="00D31437" w:rsidP="00371AD5">
            <w:pPr>
              <w:rPr>
                <w:rFonts w:ascii="Times New Roman" w:hAnsi="Times New Roman" w:cs="Times New Roman"/>
                <w:sz w:val="24"/>
                <w:szCs w:val="24"/>
              </w:rPr>
            </w:pPr>
          </w:p>
          <w:p w:rsidR="00736EA5" w:rsidRPr="00D31437" w:rsidRDefault="00736EA5"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r w:rsidRPr="00D31437">
              <w:rPr>
                <w:rFonts w:ascii="Times New Roman" w:hAnsi="Times New Roman" w:cs="Times New Roman"/>
                <w:sz w:val="24"/>
                <w:szCs w:val="24"/>
              </w:rPr>
              <w:t>--</w:t>
            </w:r>
          </w:p>
          <w:p w:rsidR="00D31437" w:rsidRPr="00D31437" w:rsidRDefault="00D31437" w:rsidP="00371AD5">
            <w:pPr>
              <w:rPr>
                <w:rFonts w:ascii="Times New Roman" w:hAnsi="Times New Roman" w:cs="Times New Roman"/>
                <w:sz w:val="24"/>
                <w:szCs w:val="24"/>
              </w:rPr>
            </w:pPr>
          </w:p>
          <w:p w:rsidR="00D31437" w:rsidRDefault="00D31437" w:rsidP="00371AD5">
            <w:pPr>
              <w:rPr>
                <w:rFonts w:ascii="Times New Roman" w:hAnsi="Times New Roman" w:cs="Times New Roman"/>
                <w:sz w:val="24"/>
                <w:szCs w:val="24"/>
              </w:rPr>
            </w:pPr>
          </w:p>
          <w:p w:rsidR="00736EA5" w:rsidRPr="00D31437" w:rsidRDefault="00736EA5"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r w:rsidRPr="00D31437">
              <w:rPr>
                <w:rFonts w:ascii="Times New Roman" w:hAnsi="Times New Roman" w:cs="Times New Roman"/>
                <w:sz w:val="24"/>
                <w:szCs w:val="24"/>
              </w:rPr>
              <w:t>Riproposto da art. 7 comma 5</w:t>
            </w: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Default="00D31437" w:rsidP="00371AD5">
            <w:pPr>
              <w:rPr>
                <w:rFonts w:ascii="Times New Roman" w:hAnsi="Times New Roman" w:cs="Times New Roman"/>
                <w:sz w:val="24"/>
                <w:szCs w:val="24"/>
              </w:rPr>
            </w:pPr>
          </w:p>
          <w:p w:rsidR="00736EA5" w:rsidRPr="00D31437" w:rsidRDefault="00736EA5"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p>
          <w:p w:rsidR="00D31437" w:rsidRPr="00D31437" w:rsidRDefault="00D31437" w:rsidP="00371AD5">
            <w:pPr>
              <w:rPr>
                <w:rFonts w:ascii="Times New Roman" w:hAnsi="Times New Roman" w:cs="Times New Roman"/>
                <w:sz w:val="24"/>
                <w:szCs w:val="24"/>
              </w:rPr>
            </w:pPr>
            <w:r w:rsidRPr="00D31437">
              <w:rPr>
                <w:rFonts w:ascii="Times New Roman" w:hAnsi="Times New Roman" w:cs="Times New Roman"/>
                <w:sz w:val="24"/>
                <w:szCs w:val="24"/>
              </w:rPr>
              <w:t>Riproposto da art. 7 comma 6 con modificazioni in quanto non vengono più citati gli esercizi assimilati alle sale gioco che ora vengono chiamati locali</w:t>
            </w:r>
          </w:p>
          <w:p w:rsidR="00D31437" w:rsidRPr="00D31437" w:rsidRDefault="00D31437">
            <w:pPr>
              <w:rPr>
                <w:rFonts w:ascii="Times New Roman" w:hAnsi="Times New Roman" w:cs="Times New Roman"/>
                <w:sz w:val="24"/>
                <w:szCs w:val="24"/>
              </w:rPr>
            </w:pPr>
            <w:r w:rsidRPr="00D31437">
              <w:rPr>
                <w:rFonts w:ascii="Times New Roman" w:hAnsi="Times New Roman" w:cs="Times New Roman"/>
                <w:sz w:val="24"/>
                <w:szCs w:val="24"/>
              </w:rPr>
              <w:t>----</w:t>
            </w:r>
          </w:p>
        </w:tc>
        <w:tc>
          <w:tcPr>
            <w:tcW w:w="4809" w:type="dxa"/>
          </w:tcPr>
          <w:p w:rsidR="00D31437" w:rsidRDefault="00D31437" w:rsidP="00E24C89">
            <w:pPr>
              <w:pStyle w:val="Titolo6"/>
              <w:outlineLvl w:val="5"/>
            </w:pPr>
            <w:bookmarkStart w:id="2" w:name="_Toc470714975"/>
            <w:bookmarkStart w:id="3" w:name="_Toc470779273"/>
            <w:r w:rsidRPr="000013A2">
              <w:lastRenderedPageBreak/>
              <w:t>Art. 54 - Disposizioni in materia di ubicazione dei locali destinati a sale da gioco e degli esercizi alle stesse assimilati.</w:t>
            </w:r>
            <w:bookmarkEnd w:id="2"/>
            <w:bookmarkEnd w:id="3"/>
          </w:p>
          <w:p w:rsidR="00D31437" w:rsidRPr="00FD48BC" w:rsidRDefault="00D31437" w:rsidP="00FD48BC">
            <w:pPr>
              <w:rPr>
                <w:sz w:val="24"/>
                <w:lang w:eastAsia="it-IT"/>
              </w:rPr>
            </w:pPr>
          </w:p>
          <w:p w:rsidR="00D31437" w:rsidRPr="000013A2" w:rsidRDefault="00D31437" w:rsidP="00E24C89">
            <w:pPr>
              <w:pStyle w:val="commatxt"/>
            </w:pPr>
            <w:r w:rsidRPr="000013A2">
              <w:tab/>
              <w:t>1.</w:t>
            </w:r>
            <w:r w:rsidRPr="000013A2">
              <w:tab/>
              <w:t xml:space="preserve">Con il presente articolo la Regione del Veneto, in conformità ai principi costituzionali, nel rispetto della normativa statale di settore ed in armonia con le previsioni dettate dall’articolo 20 “Disposizioni in materia di </w:t>
            </w:r>
            <w:r w:rsidRPr="000013A2">
              <w:lastRenderedPageBreak/>
              <w:t>prevenzione, contrasto e riduzione del rischio dalla dipendenza dal gioco d’azzardo patologico (GAP)” della legge regionale 27 aprile 2015, n. 6 “Legge di stabilità regionale per l’esercizio 2015”, nell’ambito delle proprie competenze in materia di governo del territorio, detta norme relative all’ubicazione dei locali destinati a sale da gioco e degli esercizi alle stesse assimilati.</w:t>
            </w:r>
          </w:p>
          <w:p w:rsidR="00D31437" w:rsidRPr="000013A2" w:rsidRDefault="00D31437" w:rsidP="00E24C89">
            <w:pPr>
              <w:pStyle w:val="commatxt"/>
            </w:pPr>
            <w:r w:rsidRPr="000013A2">
              <w:tab/>
              <w:t>2.</w:t>
            </w:r>
            <w:r w:rsidRPr="000013A2">
              <w:tab/>
              <w:t>Ai fini delle disposizioni recate dal presente articolo si intende per sala da gioco un luogo pubblico o aperto al pubblico o un circolo privato in cui siano accessibili e presenti, in forma prevalente, apparecchiature per il gioco di azzardo lecito previste dalla normativa vigente.</w:t>
            </w:r>
          </w:p>
          <w:p w:rsidR="00D31437" w:rsidRPr="000013A2" w:rsidRDefault="00D31437" w:rsidP="00E24C89">
            <w:pPr>
              <w:pStyle w:val="commatxt"/>
            </w:pPr>
            <w:r w:rsidRPr="000013A2">
              <w:tab/>
              <w:t>3.</w:t>
            </w:r>
            <w:r w:rsidRPr="000013A2">
              <w:tab/>
              <w:t>La Giunta regionale, al fine di consentire un’omogenea applicazione in tutto il territorio, entro trenta giorni dall’entrata in vigore della presente legge, individua le tipologie degli esercizi da considerarsi assimilati alle sale da gioco; decorso inutilmente tale termine i comuni possono, comunque, applicare le disposizioni di cui al presente articolo individuando loro stessi tali tipologie di esercizi e comunicandolo alla Regione.</w:t>
            </w:r>
          </w:p>
          <w:p w:rsidR="00D31437" w:rsidRPr="000013A2" w:rsidRDefault="00D31437" w:rsidP="00E24C89">
            <w:pPr>
              <w:pStyle w:val="commatxt"/>
            </w:pPr>
            <w:r w:rsidRPr="000013A2">
              <w:tab/>
              <w:t>4.</w:t>
            </w:r>
            <w:r w:rsidRPr="000013A2">
              <w:tab/>
              <w:t xml:space="preserve">L’esercizio delle sale da gioco e l’installazione di apparecchi da gioco di cui all’articolo 110 del regio decreto 18 giugno 1931, n. 773 “Approvazione del testo unico delle leggi di pubblica sicurezza”, e successive modificazioni, sono soggetti al regime </w:t>
            </w:r>
            <w:proofErr w:type="spellStart"/>
            <w:r w:rsidRPr="000013A2">
              <w:t>autorizzatorio</w:t>
            </w:r>
            <w:proofErr w:type="spellEnd"/>
            <w:r w:rsidRPr="000013A2">
              <w:t xml:space="preserve"> previsto dalla normativa vigente.</w:t>
            </w:r>
          </w:p>
          <w:p w:rsidR="00D31437" w:rsidRPr="000013A2" w:rsidRDefault="00D31437" w:rsidP="00E24C89">
            <w:pPr>
              <w:pStyle w:val="commatxt"/>
            </w:pPr>
            <w:r w:rsidRPr="000013A2">
              <w:lastRenderedPageBreak/>
              <w:tab/>
              <w:t>5.</w:t>
            </w:r>
            <w:r w:rsidRPr="000013A2">
              <w:tab/>
              <w:t>Al fine di perseguire gli obiettivi di cui al comma 1 i comuni, in conformità alle previsioni di cui alla legge regionale 23 aprile 2004, n. 11 “Norme per il governo del territorio e in materia di paesaggio”, dettano nei rispettivi strumenti di pianificazione urbanistica e territoriale specifiche previsioni in ordine all’ubicazione delle sale da gioco, anche in considerazione di quanto disposto dall’articolo 20 della legge regionale 27 aprile 2015, n. 6 ed in particolare dal comma 3 del medesimo articolo.</w:t>
            </w:r>
          </w:p>
          <w:p w:rsidR="00D31437" w:rsidRPr="000013A2" w:rsidRDefault="00D31437" w:rsidP="00E24C89">
            <w:pPr>
              <w:pStyle w:val="commatxt"/>
            </w:pPr>
            <w:r w:rsidRPr="000013A2">
              <w:tab/>
              <w:t>6.</w:t>
            </w:r>
            <w:r w:rsidRPr="000013A2">
              <w:tab/>
              <w:t>Salvo quanto previsto dalla normativa nazionale, per i medesimi obiettivi e finalità di cui al comma 1, i comuni possono disciplinare, nell’ambito dei propri strumenti di pianificazione gli elementi architettonici, strutturali e dimensionali delle sale da gioco e delle relative pertinenze.</w:t>
            </w:r>
          </w:p>
          <w:p w:rsidR="00D31437" w:rsidRPr="000013A2" w:rsidRDefault="00D31437" w:rsidP="00E24C89">
            <w:pPr>
              <w:pStyle w:val="commatxt"/>
            </w:pPr>
            <w:r w:rsidRPr="000013A2">
              <w:tab/>
              <w:t>7.</w:t>
            </w:r>
            <w:r w:rsidRPr="000013A2">
              <w:tab/>
              <w:t>In attuazione di quanto previsto dall’articolo 10, comma 3, del decreto del Presidente della Repubblica 6 giugno 2001, n. 380 “Testo unico delle disposizioni legislative e regolamentari in materia edilizia”, gli interventi edilizi di ristrutturazione delle sale da gioco, nonché il mutamento di destinazione d’uso, con o senza opere, da qualunque funzione a quella di sala da gioco, sono subordinati, al rilascio del permesso di costruire. Per i medesimi interventi e per quelli di nuova costruzione i termini istruttori per il rilascio del permesso di costruire sono raddoppiati.</w:t>
            </w:r>
          </w:p>
          <w:p w:rsidR="00D31437" w:rsidRPr="000013A2" w:rsidRDefault="00D31437" w:rsidP="00E24C89">
            <w:pPr>
              <w:pStyle w:val="commatxt"/>
            </w:pPr>
            <w:r w:rsidRPr="000013A2">
              <w:tab/>
              <w:t>8.</w:t>
            </w:r>
            <w:r w:rsidRPr="000013A2">
              <w:tab/>
              <w:t xml:space="preserve">Gli interventi e le opere di cui al </w:t>
            </w:r>
            <w:r w:rsidRPr="000013A2">
              <w:lastRenderedPageBreak/>
              <w:t>comma 7, eseguiti in assenza del permesso di costruire o in totale o in parziale difformità dallo stesso, sono rimossi o demoliti e gli edifici sono resi conformi alle prescrizioni degli strumenti urbanistici ed edilizi entro un termine congruo stabilito dal comune, comunque non superiore a sessanta giorni; decorso tale termine la demolizione è eseguita a cura del comune e a spese dei responsabili dell’abuso. Per i medesimi interventi, in deroga alla vigente normativa regionale, non può essere irrogata la sanzione pecuniaria in alternativa alla demolizione.</w:t>
            </w:r>
          </w:p>
          <w:p w:rsidR="00D31437" w:rsidRPr="000013A2" w:rsidRDefault="00D31437" w:rsidP="00E24C89">
            <w:pPr>
              <w:pStyle w:val="commatxt"/>
            </w:pPr>
            <w:r w:rsidRPr="000013A2">
              <w:tab/>
              <w:t>9.</w:t>
            </w:r>
            <w:r w:rsidRPr="000013A2">
              <w:tab/>
              <w:t>Le disposizioni di cui al presente articolo si applicano anche agli esercizi assimilati alle sale da gioco individuati ai sensi del comma 3.</w:t>
            </w:r>
          </w:p>
          <w:p w:rsidR="00D31437" w:rsidRPr="000013A2" w:rsidRDefault="00D31437" w:rsidP="00E24C89">
            <w:pPr>
              <w:pStyle w:val="commatxt"/>
            </w:pPr>
            <w:r w:rsidRPr="000013A2">
              <w:tab/>
              <w:t>10.</w:t>
            </w:r>
            <w:r w:rsidRPr="000013A2">
              <w:tab/>
              <w:t>Fino all’adeguamento degli strumenti di pianificazione comunale alle disposizioni di cui al comma 5, le nuove sale da gioco ed i nuovi esercizi alle stesse assimilati sono realizzati:</w:t>
            </w:r>
          </w:p>
          <w:p w:rsidR="00D31437" w:rsidRPr="000013A2" w:rsidRDefault="00D31437" w:rsidP="00E24C89">
            <w:pPr>
              <w:pStyle w:val="commatxt"/>
            </w:pPr>
            <w:r w:rsidRPr="000013A2">
              <w:t>a)</w:t>
            </w:r>
            <w:r w:rsidRPr="000013A2">
              <w:tab/>
              <w:t>nei comuni dotati del piano di assetto del territorio (PAT), di cui all’articolo 13 della legge regionale 23 aprile 2004, n. 11, nelle aree destinate alle attività produttive, così come disciplinate dal piano degli interventi (PI), di cui all’articolo 17 della legge regionale 23 aprile 2004, n. 11;</w:t>
            </w:r>
          </w:p>
          <w:p w:rsidR="00D31437" w:rsidRPr="000013A2" w:rsidRDefault="00D31437" w:rsidP="00E24C89">
            <w:pPr>
              <w:pStyle w:val="commatxt"/>
            </w:pPr>
            <w:r w:rsidRPr="000013A2">
              <w:t>b)</w:t>
            </w:r>
            <w:r w:rsidRPr="000013A2">
              <w:tab/>
              <w:t xml:space="preserve">nei comuni non dotati di PAT, nelle zone territoriali omogenee D di cui al decreto ministeriale 2 aprile 1968, n. 1444 “Limiti inderogabili di densità edilizia, di altezza, di distanza fra i fabbricati e rapporti massimi tra </w:t>
            </w:r>
            <w:r w:rsidRPr="000013A2">
              <w:lastRenderedPageBreak/>
              <w:t>spazi destinati agli insediamenti residenziali e produttivi e spazi pubblici o riservati alle attività collettive, al verde pubblico o a parcheggi da osservare ai fini della formazione dei nuovi strumenti urbanistici o della revisione di quelli esistenti, ai sensi dell’art. 17 della L. 6 agosto 1967, n. 765.”.</w:t>
            </w:r>
          </w:p>
          <w:p w:rsidR="00D31437" w:rsidRPr="000013A2" w:rsidRDefault="00D31437" w:rsidP="00E24C89">
            <w:pPr>
              <w:pStyle w:val="commatxt"/>
            </w:pPr>
            <w:r w:rsidRPr="000013A2">
              <w:tab/>
              <w:t>11.</w:t>
            </w:r>
            <w:r w:rsidRPr="000013A2">
              <w:tab/>
              <w:t>Le disposizioni di cui ai commi 5 e 6, non si applicano alle sale da gioco ed agli esercizi alle stesse assimilati esistenti alla data di entrata in vigore della presente legge.</w:t>
            </w:r>
          </w:p>
          <w:p w:rsidR="00D31437" w:rsidRDefault="00D31437" w:rsidP="00313A7B">
            <w:pPr>
              <w:pStyle w:val="commatxt"/>
            </w:pPr>
            <w:r w:rsidRPr="000013A2">
              <w:tab/>
              <w:t>12.</w:t>
            </w:r>
            <w:r w:rsidRPr="000013A2">
              <w:tab/>
              <w:t>Le disposizioni di cui al presente articolo trovano applicazione anche per i procedimenti in corso per i quali, alla data di entrata in vigore della presente legge, non sia stato assunto il provvedimento conclusivo.</w:t>
            </w:r>
          </w:p>
        </w:tc>
      </w:tr>
    </w:tbl>
    <w:p w:rsidR="00CF6AF9" w:rsidRDefault="00CF6AF9"/>
    <w:p w:rsidR="00CF6AF9" w:rsidRDefault="00CF6AF9"/>
    <w:p w:rsidR="00CF6AF9" w:rsidRDefault="00CF6AF9"/>
    <w:p w:rsidR="00CF6AF9" w:rsidRDefault="00CF6AF9"/>
    <w:p w:rsidR="00CF6AF9" w:rsidRDefault="00CF6AF9"/>
    <w:sectPr w:rsidR="00CF6AF9" w:rsidSect="00CF6AF9">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689"/>
    <w:rsid w:val="00185492"/>
    <w:rsid w:val="002938FA"/>
    <w:rsid w:val="00313A7B"/>
    <w:rsid w:val="00371AD5"/>
    <w:rsid w:val="005B468E"/>
    <w:rsid w:val="00600E32"/>
    <w:rsid w:val="00736EA5"/>
    <w:rsid w:val="00764689"/>
    <w:rsid w:val="00CC7432"/>
    <w:rsid w:val="00CF6AF9"/>
    <w:rsid w:val="00D31437"/>
    <w:rsid w:val="00FD48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6">
    <w:name w:val="heading 6"/>
    <w:basedOn w:val="Normale"/>
    <w:next w:val="Normale"/>
    <w:link w:val="Titolo6Carattere"/>
    <w:autoRedefine/>
    <w:uiPriority w:val="9"/>
    <w:unhideWhenUsed/>
    <w:qFormat/>
    <w:rsid w:val="00CF6AF9"/>
    <w:pPr>
      <w:keepNext/>
      <w:spacing w:after="0" w:line="240" w:lineRule="auto"/>
      <w:jc w:val="both"/>
      <w:outlineLvl w:val="5"/>
    </w:pPr>
    <w:rPr>
      <w:rFonts w:ascii="Times New Roman" w:eastAsia="Times New Roman" w:hAnsi="Times New Roman" w:cs="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CF6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6Carattere">
    <w:name w:val="Titolo 6 Carattere"/>
    <w:basedOn w:val="Carpredefinitoparagrafo"/>
    <w:link w:val="Titolo6"/>
    <w:uiPriority w:val="9"/>
    <w:rsid w:val="00CF6AF9"/>
    <w:rPr>
      <w:rFonts w:ascii="Times New Roman" w:eastAsia="Times New Roman" w:hAnsi="Times New Roman" w:cs="Times New Roman"/>
      <w:b/>
      <w:sz w:val="24"/>
      <w:szCs w:val="20"/>
      <w:lang w:eastAsia="it-IT"/>
    </w:rPr>
  </w:style>
  <w:style w:type="paragraph" w:customStyle="1" w:styleId="commatxt">
    <w:name w:val="commatxt"/>
    <w:basedOn w:val="Normale"/>
    <w:link w:val="commatxtCarattere"/>
    <w:rsid w:val="00CF6AF9"/>
    <w:pPr>
      <w:tabs>
        <w:tab w:val="left" w:pos="425"/>
        <w:tab w:val="left" w:pos="851"/>
      </w:tabs>
      <w:spacing w:after="0" w:line="240" w:lineRule="auto"/>
      <w:jc w:val="both"/>
    </w:pPr>
    <w:rPr>
      <w:rFonts w:ascii="Times New Roman" w:eastAsia="Times New Roman" w:hAnsi="Times New Roman" w:cs="Times New Roman"/>
      <w:sz w:val="24"/>
      <w:szCs w:val="20"/>
      <w:lang w:eastAsia="it-IT"/>
    </w:rPr>
  </w:style>
  <w:style w:type="paragraph" w:customStyle="1" w:styleId="estremi">
    <w:name w:val="estremi"/>
    <w:basedOn w:val="Normale"/>
    <w:rsid w:val="00CF6AF9"/>
    <w:pPr>
      <w:spacing w:after="240" w:line="240" w:lineRule="auto"/>
      <w:jc w:val="both"/>
    </w:pPr>
    <w:rPr>
      <w:rFonts w:ascii="Times New Roman" w:eastAsia="Times New Roman" w:hAnsi="Times New Roman" w:cs="Times New Roman"/>
      <w:b/>
      <w:sz w:val="24"/>
      <w:szCs w:val="20"/>
      <w:lang w:eastAsia="it-IT"/>
    </w:rPr>
  </w:style>
  <w:style w:type="character" w:customStyle="1" w:styleId="commatxtCarattere">
    <w:name w:val="commatxt Carattere"/>
    <w:link w:val="commatxt"/>
    <w:locked/>
    <w:rsid w:val="00CF6AF9"/>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6">
    <w:name w:val="heading 6"/>
    <w:basedOn w:val="Normale"/>
    <w:next w:val="Normale"/>
    <w:link w:val="Titolo6Carattere"/>
    <w:autoRedefine/>
    <w:uiPriority w:val="9"/>
    <w:unhideWhenUsed/>
    <w:qFormat/>
    <w:rsid w:val="00CF6AF9"/>
    <w:pPr>
      <w:keepNext/>
      <w:spacing w:after="0" w:line="240" w:lineRule="auto"/>
      <w:jc w:val="both"/>
      <w:outlineLvl w:val="5"/>
    </w:pPr>
    <w:rPr>
      <w:rFonts w:ascii="Times New Roman" w:eastAsia="Times New Roman" w:hAnsi="Times New Roman" w:cs="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CF6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6Carattere">
    <w:name w:val="Titolo 6 Carattere"/>
    <w:basedOn w:val="Carpredefinitoparagrafo"/>
    <w:link w:val="Titolo6"/>
    <w:uiPriority w:val="9"/>
    <w:rsid w:val="00CF6AF9"/>
    <w:rPr>
      <w:rFonts w:ascii="Times New Roman" w:eastAsia="Times New Roman" w:hAnsi="Times New Roman" w:cs="Times New Roman"/>
      <w:b/>
      <w:sz w:val="24"/>
      <w:szCs w:val="20"/>
      <w:lang w:eastAsia="it-IT"/>
    </w:rPr>
  </w:style>
  <w:style w:type="paragraph" w:customStyle="1" w:styleId="commatxt">
    <w:name w:val="commatxt"/>
    <w:basedOn w:val="Normale"/>
    <w:link w:val="commatxtCarattere"/>
    <w:rsid w:val="00CF6AF9"/>
    <w:pPr>
      <w:tabs>
        <w:tab w:val="left" w:pos="425"/>
        <w:tab w:val="left" w:pos="851"/>
      </w:tabs>
      <w:spacing w:after="0" w:line="240" w:lineRule="auto"/>
      <w:jc w:val="both"/>
    </w:pPr>
    <w:rPr>
      <w:rFonts w:ascii="Times New Roman" w:eastAsia="Times New Roman" w:hAnsi="Times New Roman" w:cs="Times New Roman"/>
      <w:sz w:val="24"/>
      <w:szCs w:val="20"/>
      <w:lang w:eastAsia="it-IT"/>
    </w:rPr>
  </w:style>
  <w:style w:type="paragraph" w:customStyle="1" w:styleId="estremi">
    <w:name w:val="estremi"/>
    <w:basedOn w:val="Normale"/>
    <w:rsid w:val="00CF6AF9"/>
    <w:pPr>
      <w:spacing w:after="240" w:line="240" w:lineRule="auto"/>
      <w:jc w:val="both"/>
    </w:pPr>
    <w:rPr>
      <w:rFonts w:ascii="Times New Roman" w:eastAsia="Times New Roman" w:hAnsi="Times New Roman" w:cs="Times New Roman"/>
      <w:b/>
      <w:sz w:val="24"/>
      <w:szCs w:val="20"/>
      <w:lang w:eastAsia="it-IT"/>
    </w:rPr>
  </w:style>
  <w:style w:type="character" w:customStyle="1" w:styleId="commatxtCarattere">
    <w:name w:val="commatxt Carattere"/>
    <w:link w:val="commatxt"/>
    <w:locked/>
    <w:rsid w:val="00CF6AF9"/>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18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7F602-2054-4E98-915F-2841A313A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1930</Words>
  <Characters>11007</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Michielin</dc:creator>
  <cp:keywords/>
  <dc:description/>
  <cp:lastModifiedBy>Michielin</cp:lastModifiedBy>
  <cp:revision>10</cp:revision>
  <cp:lastPrinted>2019-09-27T11:00:00Z</cp:lastPrinted>
  <dcterms:created xsi:type="dcterms:W3CDTF">2019-09-27T09:47:00Z</dcterms:created>
  <dcterms:modified xsi:type="dcterms:W3CDTF">2019-09-27T11:10:00Z</dcterms:modified>
</cp:coreProperties>
</file>